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Arial" w:hAnsi="Arial"/>
          <w:b/>
          <w:color w:val="2B2F38"/>
          <w:sz w:val="36"/>
        </w:rPr>
        <w:t>Opening Your Business Bank Account</w:t>
      </w:r>
    </w:p>
    <w:p>
      <w:pPr>
        <w:spacing w:before="0" w:after="280"/>
      </w:pPr>
      <w:r>
        <w:rPr>
          <w:rFonts w:ascii="Arial" w:hAnsi="Arial"/>
          <w:color w:val="6B7280"/>
          <w:sz w:val="19"/>
        </w:rPr>
        <w:t>Just as the exterior walls of a house shield and define its structural integrity, a dedicated business bank account erects an impenetrable financial barrier around your company. Use this worksheet to evaluate South African commercial banks, assemble your FICA compliance pack, and establish your financial operations.</w:t>
      </w:r>
    </w:p>
    <w:p>
      <w:pPr>
        <w:keepNext/>
        <w:spacing w:before="280" w:after="80"/>
      </w:pPr>
      <w:r>
        <w:rPr>
          <w:rFonts w:ascii="Arial" w:hAnsi="Arial"/>
          <w:b/>
          <w:color w:val="2B2F38"/>
          <w:sz w:val="23"/>
        </w:rPr>
        <w:t>1. The 'Why': Building Your Financial Walls</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Understanding the legal and operational necessity of keeping personal and commercial finances entirely separate from Day 1.</w:t>
            </w:r>
          </w:p>
        </w:tc>
      </w:tr>
    </w:tbl>
    <w:p>
      <w:pPr>
        <w:spacing w:before="0" w:after="80"/>
      </w:pPr>
    </w:p>
    <w:tbl>
      <w:tblPr>
        <w:tblW w:type="auto" w:w="0"/>
        <w:jc w:val="center"/>
        <w:tblLook w:firstColumn="1" w:firstRow="1" w:lastColumn="0" w:lastRow="0" w:noHBand="0" w:noVBand="1" w:val="04A0"/>
        <w:tblBorders>
          <w:top w:val="single" w:sz="4" w:space="0" w:color="D1D5DB"/>
          <w:bottom w:val="single" w:sz="4" w:space="0" w:color="D1D5DB"/>
          <w:left w:val="single" w:sz="4" w:space="0" w:color="D1D5DB"/>
          <w:right w:val="single" w:sz="4" w:space="0" w:color="D1D5DB"/>
          <w:insideH w:val="none"/>
          <w:insideV w:val="none"/>
        </w:tblBorders>
      </w:tblPr>
      <w:tblGrid>
        <w:gridCol w:w="9605"/>
      </w:tblGrid>
      <w:tr>
        <w:tc>
          <w:tcPr>
            <w:tcW w:type="dxa" w:w="9605"/>
            <w:tcMar>
              <w:top w:w="100" w:type="dxa"/>
              <w:bottom w:w="100" w:type="dxa"/>
              <w:left w:w="120" w:type="dxa"/>
              <w:right w:w="120" w:type="dxa"/>
            </w:tcMar>
          </w:tcPr>
          <w:p>
            <w:r>
              <w:rPr>
                <w:rFonts w:ascii="Arial" w:hAnsi="Arial"/>
                <w:b/>
                <w:color w:val="D4A243"/>
                <w:sz w:val="19"/>
              </w:rPr>
              <w:t>The Legal Risk: 'Piercing the Corporate Veil'</w:t>
              <w:br/>
            </w:r>
            <w:r>
              <w:rPr>
                <w:rFonts w:ascii="Arial" w:hAnsi="Arial"/>
                <w:color w:val="2B2F38"/>
                <w:sz w:val="17"/>
              </w:rPr>
              <w:t>A Private Company (Pty) Ltd is legally a distinct juridical person. However, if you commingle personal living expenses with business revenue, South African courts can 'pierce the corporate veil.' This revokes your statutory limited liability protection, making you personally liable with your own assets (home, vehicles, private savings) for company debts and legal judgements.</w:t>
              <w:br/>
              <w:br/>
            </w:r>
            <w:r>
              <w:rPr>
                <w:rFonts w:ascii="Arial" w:hAnsi="Arial"/>
                <w:b/>
                <w:color w:val="2B2F38"/>
                <w:sz w:val="18"/>
              </w:rPr>
              <w:t>Strategic Operational Advantages:</w:t>
              <w:br/>
            </w:r>
          </w:p>
          <w:p>
            <w:pPr>
              <w:spacing w:before="40" w:after="40"/>
            </w:pPr>
            <w:r>
              <w:rPr>
                <w:rFonts w:ascii="Arial" w:hAnsi="Arial"/>
                <w:b/>
                <w:color w:val="2B2F38"/>
                <w:sz w:val="17"/>
              </w:rPr>
              <w:t xml:space="preserve">•  Legal Asset Protection: </w:t>
            </w:r>
            <w:r>
              <w:rPr>
                <w:rFonts w:ascii="Arial" w:hAnsi="Arial"/>
                <w:color w:val="6B7280"/>
                <w:sz w:val="17"/>
              </w:rPr>
              <w:t>Enforces a strict, auditable boundary between personal wealth and business risks/liabilities.</w:t>
            </w:r>
          </w:p>
          <w:p>
            <w:pPr>
              <w:spacing w:before="40" w:after="40"/>
            </w:pPr>
            <w:r>
              <w:rPr>
                <w:rFonts w:ascii="Arial" w:hAnsi="Arial"/>
                <w:b/>
                <w:color w:val="2B2F38"/>
                <w:sz w:val="17"/>
              </w:rPr>
              <w:t xml:space="preserve">•  Client &amp; Funder Trust: </w:t>
            </w:r>
            <w:r>
              <w:rPr>
                <w:rFonts w:ascii="Arial" w:hAnsi="Arial"/>
                <w:color w:val="6B7280"/>
                <w:sz w:val="17"/>
              </w:rPr>
              <w:t>Clients and enterprise procurement expect to deposit into an official trading entity name, not a personal account.</w:t>
            </w:r>
          </w:p>
          <w:p>
            <w:pPr>
              <w:spacing w:before="40" w:after="40"/>
            </w:pPr>
            <w:r>
              <w:rPr>
                <w:rFonts w:ascii="Arial" w:hAnsi="Arial"/>
                <w:b/>
                <w:color w:val="2B2F38"/>
                <w:sz w:val="17"/>
              </w:rPr>
              <w:t xml:space="preserve">•  Seamless Tax &amp; Bookkeeping: </w:t>
            </w:r>
            <w:r>
              <w:rPr>
                <w:rFonts w:ascii="Arial" w:hAnsi="Arial"/>
                <w:color w:val="6B7280"/>
                <w:sz w:val="17"/>
              </w:rPr>
              <w:t>Drastically reduces accounting fees by producing clean bank feeds directly compatible with accounting software.</w:t>
            </w:r>
          </w:p>
          <w:p>
            <w:pPr>
              <w:spacing w:before="40" w:after="40"/>
            </w:pPr>
            <w:r>
              <w:rPr>
                <w:rFonts w:ascii="Arial" w:hAnsi="Arial"/>
                <w:b/>
                <w:color w:val="2B2F38"/>
                <w:sz w:val="17"/>
              </w:rPr>
              <w:t xml:space="preserve">•  Credit &amp; Facility Access: </w:t>
            </w:r>
            <w:r>
              <w:rPr>
                <w:rFonts w:ascii="Arial" w:hAnsi="Arial"/>
                <w:color w:val="6B7280"/>
                <w:sz w:val="17"/>
              </w:rPr>
              <w:t>Banks and funders require an uninterrupted commercial bank track record before granting overdrafts or credit lines.</w:t>
            </w:r>
          </w:p>
        </w:tc>
      </w:tr>
    </w:tbl>
    <w:p>
      <w:pPr>
        <w:spacing w:before="80" w:after="40"/>
      </w:pPr>
    </w:p>
    <w:p>
      <w:pPr>
        <w:keepNext/>
        <w:spacing w:before="280" w:after="80"/>
      </w:pPr>
      <w:r>
        <w:rPr>
          <w:rFonts w:ascii="Arial" w:hAnsi="Arial"/>
          <w:b/>
          <w:color w:val="2B2F38"/>
          <w:sz w:val="23"/>
        </w:rPr>
        <w:t>2. The 'What': FICA &amp; Statutory Document Checklist</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Banks are legally obligated under the Financial Intelligence Centre Act (FICA) to verify specific documents before opening a business facility. Incomplete paperwork is the #1 reason for account opening delays.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3312"/>
        <w:gridCol w:w="5141"/>
        <w:gridCol w:w="1152"/>
      </w:tblGrid>
      <w:tr>
        <w:tc>
          <w:tcPr>
            <w:tcW w:type="dxa" w:w="3202"/>
            <w:shd w:fill="E5E7EB"/>
            <w:tcMar>
              <w:top w:w="100" w:type="dxa"/>
              <w:bottom w:w="100" w:type="dxa"/>
              <w:left w:w="100" w:type="dxa"/>
              <w:right w:w="100" w:type="dxa"/>
            </w:tcMar>
          </w:tcPr>
          <w:p>
            <w:pPr>
              <w:jc w:val="left"/>
            </w:pPr>
            <w:r>
              <w:rPr>
                <w:rFonts w:ascii="Arial" w:hAnsi="Arial"/>
                <w:b/>
                <w:color w:val="2B2F38"/>
                <w:sz w:val="18"/>
              </w:rPr>
              <w:t>Entity Structure &amp; Document</w:t>
            </w:r>
          </w:p>
        </w:tc>
        <w:tc>
          <w:tcPr>
            <w:tcW w:type="dxa" w:w="3202"/>
            <w:shd w:fill="E5E7EB"/>
            <w:tcMar>
              <w:top w:w="100" w:type="dxa"/>
              <w:bottom w:w="100" w:type="dxa"/>
              <w:left w:w="100" w:type="dxa"/>
              <w:right w:w="100" w:type="dxa"/>
            </w:tcMar>
          </w:tcPr>
          <w:p>
            <w:pPr>
              <w:jc w:val="left"/>
            </w:pPr>
            <w:r>
              <w:rPr>
                <w:rFonts w:ascii="Arial" w:hAnsi="Arial"/>
                <w:b/>
                <w:color w:val="2B2F38"/>
                <w:sz w:val="18"/>
              </w:rPr>
              <w:t>Regulatory Requirement &amp; Verification Standard</w:t>
            </w:r>
          </w:p>
        </w:tc>
        <w:tc>
          <w:tcPr>
            <w:tcW w:type="dxa" w:w="3202"/>
            <w:shd w:fill="E5E7EB"/>
            <w:tcMar>
              <w:top w:w="100" w:type="dxa"/>
              <w:bottom w:w="100" w:type="dxa"/>
              <w:left w:w="100" w:type="dxa"/>
              <w:right w:w="100" w:type="dxa"/>
            </w:tcMar>
          </w:tcPr>
          <w:p>
            <w:pPr>
              <w:jc w:val="center"/>
            </w:pPr>
            <w:r>
              <w:rPr>
                <w:rFonts w:ascii="Arial" w:hAnsi="Arial"/>
                <w:b/>
                <w:color w:val="2B2F38"/>
                <w:sz w:val="18"/>
              </w:rPr>
              <w:t>Ready?</w:t>
            </w:r>
          </w:p>
        </w:tc>
      </w:tr>
      <w:tr>
        <w:tc>
          <w:tcPr>
            <w:tcW w:type="dxa" w:w="3202"/>
            <w:tcMar>
              <w:top w:w="100" w:type="dxa"/>
              <w:bottom w:w="100" w:type="dxa"/>
              <w:left w:w="100" w:type="dxa"/>
              <w:right w:w="100" w:type="dxa"/>
            </w:tcMar>
          </w:tcPr>
          <w:p>
            <w:r>
              <w:rPr>
                <w:rFonts w:ascii="Arial" w:hAnsi="Arial"/>
                <w:b/>
                <w:color w:val="2B2F38"/>
                <w:sz w:val="17"/>
              </w:rPr>
              <w:t>Sole Proprietorship Requirements</w:t>
            </w:r>
          </w:p>
        </w:tc>
        <w:tc>
          <w:tcPr>
            <w:tcW w:type="dxa" w:w="3202"/>
            <w:tcMar>
              <w:top w:w="100" w:type="dxa"/>
              <w:bottom w:w="100" w:type="dxa"/>
              <w:left w:w="100" w:type="dxa"/>
              <w:right w:w="100" w:type="dxa"/>
            </w:tcMar>
          </w:tcPr>
          <w:p>
            <w:r>
              <w:rPr>
                <w:rFonts w:ascii="Arial" w:hAnsi="Arial"/>
                <w:color w:val="6B7280"/>
                <w:sz w:val="16"/>
              </w:rPr>
              <w:t>• Original Green Barcoded SA ID book or Smart ID Card</w:t>
              <w:br/>
              <w:t>• Proof of residential address (&lt; 3 months old, e.g., utility bill/lease)</w:t>
              <w:br/>
              <w:t>• Proof of business operating address (or signed affidavit if identical to residence)</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CIPC Company Registration Pack</w:t>
            </w:r>
            <w:r>
              <w:br/>
            </w:r>
            <w:r>
              <w:rPr>
                <w:rFonts w:ascii="Arial" w:hAnsi="Arial"/>
                <w:color w:val="D4A243"/>
                <w:sz w:val="15"/>
              </w:rPr>
              <w:t>(Pty Ltd / Close Corp)</w:t>
            </w:r>
          </w:p>
        </w:tc>
        <w:tc>
          <w:tcPr>
            <w:tcW w:type="dxa" w:w="3202"/>
            <w:tcMar>
              <w:top w:w="100" w:type="dxa"/>
              <w:bottom w:w="100" w:type="dxa"/>
              <w:left w:w="100" w:type="dxa"/>
              <w:right w:w="100" w:type="dxa"/>
            </w:tcMar>
          </w:tcPr>
          <w:p>
            <w:r>
              <w:rPr>
                <w:rFonts w:ascii="Arial" w:hAnsi="Arial"/>
                <w:color w:val="6B7280"/>
                <w:sz w:val="16"/>
              </w:rPr>
              <w:t>• Official CIPC Registration Certificate (COR14.3)</w:t>
              <w:br/>
              <w:t>• Notice of Incorporation (COR14.1 &amp; COR14.1A)</w:t>
              <w:br/>
              <w:t>• Memorandum of Incorporation (MOI / COR15.1A)</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SARS Tax Registration</w:t>
            </w:r>
          </w:p>
        </w:tc>
        <w:tc>
          <w:tcPr>
            <w:tcW w:type="dxa" w:w="3202"/>
            <w:tcMar>
              <w:top w:w="100" w:type="dxa"/>
              <w:bottom w:w="100" w:type="dxa"/>
              <w:left w:w="100" w:type="dxa"/>
              <w:right w:w="100" w:type="dxa"/>
            </w:tcMar>
          </w:tcPr>
          <w:p>
            <w:r>
              <w:rPr>
                <w:rFonts w:ascii="Arial" w:hAnsi="Arial"/>
                <w:color w:val="6B7280"/>
                <w:sz w:val="16"/>
              </w:rPr>
              <w:t>Official SARS Income Tax Notice of Registration (IT150 / Tax Confirmation Letter showing the 10-digit company tax reference number).</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CIPC Beneficial Ownership Register</w:t>
            </w:r>
          </w:p>
        </w:tc>
        <w:tc>
          <w:tcPr>
            <w:tcW w:type="dxa" w:w="3202"/>
            <w:tcMar>
              <w:top w:w="100" w:type="dxa"/>
              <w:bottom w:w="100" w:type="dxa"/>
              <w:left w:w="100" w:type="dxa"/>
              <w:right w:w="100" w:type="dxa"/>
            </w:tcMar>
          </w:tcPr>
          <w:p>
            <w:r>
              <w:rPr>
                <w:rFonts w:ascii="Arial" w:hAnsi="Arial"/>
                <w:color w:val="6B7280"/>
                <w:sz w:val="16"/>
              </w:rPr>
              <w:t>Official CIPC confirmation certificate and internal Beneficial Ownership Register proving verified disclosure of all 5%+ ultimate natural owners.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Directors &amp; Signatories FICA</w:t>
            </w:r>
          </w:p>
        </w:tc>
        <w:tc>
          <w:tcPr>
            <w:tcW w:type="dxa" w:w="3202"/>
            <w:tcMar>
              <w:top w:w="100" w:type="dxa"/>
              <w:bottom w:w="100" w:type="dxa"/>
              <w:left w:w="100" w:type="dxa"/>
              <w:right w:w="100" w:type="dxa"/>
            </w:tcMar>
          </w:tcPr>
          <w:p>
            <w:r>
              <w:rPr>
                <w:rFonts w:ascii="Arial" w:hAnsi="Arial"/>
                <w:color w:val="6B7280"/>
                <w:sz w:val="16"/>
              </w:rPr>
              <w:t>Clear certified ID copies and individual proof of residential address (&lt; 3 months) for all active directors and mandated account signatories.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Formal Board Resolution</w:t>
            </w:r>
          </w:p>
        </w:tc>
        <w:tc>
          <w:tcPr>
            <w:tcW w:type="dxa" w:w="3202"/>
            <w:tcMar>
              <w:top w:w="100" w:type="dxa"/>
              <w:bottom w:w="100" w:type="dxa"/>
              <w:left w:w="100" w:type="dxa"/>
              <w:right w:w="100" w:type="dxa"/>
            </w:tcMar>
          </w:tcPr>
          <w:p>
            <w:r>
              <w:rPr>
                <w:rFonts w:ascii="Arial" w:hAnsi="Arial"/>
                <w:color w:val="6B7280"/>
                <w:sz w:val="16"/>
              </w:rPr>
              <w:t>Signed resolution by all directors authorising the opening of the account and explicitly naming designated banking signatories.</w:t>
            </w:r>
          </w:p>
        </w:tc>
        <w:tc>
          <w:tcPr>
            <w:tcW w:type="dxa" w:w="3202"/>
            <w:tcMar>
              <w:top w:w="100" w:type="dxa"/>
              <w:bottom w:w="100" w:type="dxa"/>
              <w:left w:w="100" w:type="dxa"/>
              <w:right w:w="100" w:type="dxa"/>
            </w:tcMar>
          </w:tcPr>
          <w:p>
            <w:pPr>
              <w:jc w:val="center"/>
            </w:pPr>
            <w:r>
              <w:rPr>
                <w:rFonts w:ascii="Arial" w:hAnsi="Arial"/>
                <w:b/>
                <w:color w:val="2B2F38"/>
                <w:sz w:val="18"/>
              </w:rPr>
              <w:t>[   ]</w:t>
            </w:r>
          </w:p>
        </w:tc>
      </w:tr>
      <w:tr>
        <w:tc>
          <w:tcPr>
            <w:tcW w:type="dxa" w:w="3202"/>
            <w:tcMar>
              <w:top w:w="100" w:type="dxa"/>
              <w:bottom w:w="100" w:type="dxa"/>
              <w:left w:w="100" w:type="dxa"/>
              <w:right w:w="100" w:type="dxa"/>
            </w:tcMar>
          </w:tcPr>
          <w:p>
            <w:r>
              <w:rPr>
                <w:rFonts w:ascii="Arial" w:hAnsi="Arial"/>
                <w:b/>
                <w:color w:val="2B2F38"/>
                <w:sz w:val="17"/>
              </w:rPr>
              <w:t>Registered Physical Office Address</w:t>
            </w:r>
          </w:p>
        </w:tc>
        <w:tc>
          <w:tcPr>
            <w:tcW w:type="dxa" w:w="3202"/>
            <w:tcMar>
              <w:top w:w="100" w:type="dxa"/>
              <w:bottom w:w="100" w:type="dxa"/>
              <w:left w:w="100" w:type="dxa"/>
              <w:right w:w="100" w:type="dxa"/>
            </w:tcMar>
          </w:tcPr>
          <w:p>
            <w:r>
              <w:rPr>
                <w:rFonts w:ascii="Arial" w:hAnsi="Arial"/>
                <w:color w:val="6B7280"/>
                <w:sz w:val="16"/>
              </w:rPr>
              <w:t>Utility bill, commercial lease agreement, or formal municipal statement reflecting the company's registered head office address.</w:t>
            </w:r>
          </w:p>
        </w:tc>
        <w:tc>
          <w:tcPr>
            <w:tcW w:type="dxa" w:w="3202"/>
            <w:tcMar>
              <w:top w:w="100" w:type="dxa"/>
              <w:bottom w:w="100" w:type="dxa"/>
              <w:left w:w="100" w:type="dxa"/>
              <w:right w:w="100" w:type="dxa"/>
            </w:tcMar>
          </w:tcPr>
          <w:p>
            <w:pPr>
              <w:jc w:val="center"/>
            </w:pPr>
            <w:r>
              <w:rPr>
                <w:rFonts w:ascii="Arial" w:hAnsi="Arial"/>
                <w:b/>
                <w:color w:val="2B2F38"/>
                <w:sz w:val="18"/>
              </w:rPr>
              <w:t>[   ]</w:t>
            </w:r>
          </w:p>
        </w:tc>
      </w:tr>
    </w:tbl>
    <w:p>
      <w:pPr>
        <w:spacing w:before="80" w:after="40"/>
      </w:pPr>
    </w:p>
    <w:p>
      <w:pPr>
        <w:keepNext/>
        <w:spacing w:before="280" w:after="80"/>
      </w:pPr>
      <w:r>
        <w:rPr>
          <w:rFonts w:ascii="Arial" w:hAnsi="Arial"/>
          <w:b/>
          <w:color w:val="2B2F38"/>
          <w:sz w:val="23"/>
        </w:rPr>
        <w:t>3. The 'How': Commercial Bank Comparison Matrix</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Evaluate at least 3 major South African financial institutions to identify which account best accommodates your monthly transaction volume, speed, and software integrations.</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2592"/>
        <w:gridCol w:w="2304"/>
        <w:gridCol w:w="2304"/>
        <w:gridCol w:w="2405"/>
      </w:tblGrid>
      <w:tr>
        <w:tc>
          <w:tcPr>
            <w:tcW w:type="dxa" w:w="2401"/>
            <w:shd w:fill="E5E7EB"/>
            <w:tcMar>
              <w:top w:w="100" w:type="dxa"/>
              <w:bottom w:w="100" w:type="dxa"/>
              <w:left w:w="100" w:type="dxa"/>
              <w:right w:w="100" w:type="dxa"/>
            </w:tcMar>
          </w:tcPr>
          <w:p>
            <w:pPr>
              <w:jc w:val="left"/>
            </w:pPr>
            <w:r>
              <w:rPr>
                <w:rFonts w:ascii="Arial" w:hAnsi="Arial"/>
                <w:b/>
                <w:color w:val="2B2F38"/>
                <w:sz w:val="17"/>
              </w:rPr>
              <w:t>Evaluation Criteria</w:t>
            </w:r>
          </w:p>
        </w:tc>
        <w:tc>
          <w:tcPr>
            <w:tcW w:type="dxa" w:w="2401"/>
            <w:shd w:fill="E5E7EB"/>
            <w:tcMar>
              <w:top w:w="100" w:type="dxa"/>
              <w:bottom w:w="100" w:type="dxa"/>
              <w:left w:w="100" w:type="dxa"/>
              <w:right w:w="100" w:type="dxa"/>
            </w:tcMar>
          </w:tcPr>
          <w:p>
            <w:pPr>
              <w:jc w:val="center"/>
            </w:pPr>
            <w:r>
              <w:rPr>
                <w:rFonts w:ascii="Arial" w:hAnsi="Arial"/>
                <w:b/>
                <w:color w:val="2B2F38"/>
                <w:sz w:val="17"/>
              </w:rPr>
              <w:t>Bank Option 1 (e.g., FNB)</w:t>
            </w:r>
          </w:p>
        </w:tc>
        <w:tc>
          <w:tcPr>
            <w:tcW w:type="dxa" w:w="2401"/>
            <w:shd w:fill="E5E7EB"/>
            <w:tcMar>
              <w:top w:w="100" w:type="dxa"/>
              <w:bottom w:w="100" w:type="dxa"/>
              <w:left w:w="100" w:type="dxa"/>
              <w:right w:w="100" w:type="dxa"/>
            </w:tcMar>
          </w:tcPr>
          <w:p>
            <w:pPr>
              <w:jc w:val="center"/>
            </w:pPr>
            <w:r>
              <w:rPr>
                <w:rFonts w:ascii="Arial" w:hAnsi="Arial"/>
                <w:b/>
                <w:color w:val="2B2F38"/>
                <w:sz w:val="17"/>
              </w:rPr>
              <w:t>Bank Option 2 (e.g., Nedbank)</w:t>
            </w:r>
          </w:p>
        </w:tc>
        <w:tc>
          <w:tcPr>
            <w:tcW w:type="dxa" w:w="2401"/>
            <w:shd w:fill="E5E7EB"/>
            <w:tcMar>
              <w:top w:w="100" w:type="dxa"/>
              <w:bottom w:w="100" w:type="dxa"/>
              <w:left w:w="100" w:type="dxa"/>
              <w:right w:w="100" w:type="dxa"/>
            </w:tcMar>
          </w:tcPr>
          <w:p>
            <w:pPr>
              <w:jc w:val="center"/>
            </w:pPr>
            <w:r>
              <w:rPr>
                <w:rFonts w:ascii="Arial" w:hAnsi="Arial"/>
                <w:b/>
                <w:color w:val="2B2F38"/>
                <w:sz w:val="17"/>
              </w:rPr>
              <w:t>Bank Option 3 (e.g., Standard / Absa / Tymebank)</w:t>
            </w:r>
          </w:p>
        </w:tc>
      </w:tr>
      <w:tr>
        <w:tc>
          <w:tcPr>
            <w:tcW w:type="dxa" w:w="2401"/>
            <w:tcMar>
              <w:top w:w="100" w:type="dxa"/>
              <w:bottom w:w="100" w:type="dxa"/>
              <w:left w:w="100" w:type="dxa"/>
              <w:right w:w="100" w:type="dxa"/>
            </w:tcMar>
          </w:tcPr>
          <w:p>
            <w:r>
              <w:rPr>
                <w:rFonts w:ascii="Arial" w:hAnsi="Arial"/>
                <w:b/>
                <w:color w:val="2B2F38"/>
                <w:sz w:val="17"/>
              </w:rPr>
              <w:t>Account Name &amp; Tier</w:t>
            </w:r>
          </w:p>
        </w:tc>
        <w:tc>
          <w:tcPr>
            <w:tcW w:type="dxa" w:w="2401"/>
            <w:tcMar>
              <w:top w:w="100" w:type="dxa"/>
              <w:bottom w:w="100" w:type="dxa"/>
              <w:left w:w="100" w:type="dxa"/>
              <w:right w:w="100" w:type="dxa"/>
            </w:tcMar>
          </w:tcPr>
          <w:p>
            <w:pPr>
              <w:jc w:val="center"/>
            </w:pPr>
            <w:r>
              <w:rPr>
                <w:rFonts w:ascii="Arial" w:hAnsi="Arial"/>
                <w:color w:val="6B7280"/>
                <w:sz w:val="16"/>
              </w:rPr>
              <w:t>e.g., First Business Zero / Gold</w:t>
            </w:r>
          </w:p>
        </w:tc>
        <w:tc>
          <w:tcPr>
            <w:tcW w:type="dxa" w:w="2401"/>
            <w:tcMar>
              <w:top w:w="100" w:type="dxa"/>
              <w:bottom w:w="100" w:type="dxa"/>
              <w:left w:w="100" w:type="dxa"/>
              <w:right w:w="100" w:type="dxa"/>
            </w:tcMar>
          </w:tcPr>
          <w:p>
            <w:pPr>
              <w:jc w:val="center"/>
            </w:pPr>
            <w:r>
              <w:rPr>
                <w:rFonts w:ascii="Arial" w:hAnsi="Arial"/>
                <w:color w:val="6B7280"/>
                <w:sz w:val="16"/>
              </w:rPr>
              <w:t>e.g., Nedbank Startup Bundle</w:t>
            </w:r>
          </w:p>
        </w:tc>
        <w:tc>
          <w:tcPr>
            <w:tcW w:type="dxa" w:w="2401"/>
            <w:tcMar>
              <w:top w:w="100" w:type="dxa"/>
              <w:bottom w:w="100" w:type="dxa"/>
              <w:left w:w="100" w:type="dxa"/>
              <w:right w:w="100" w:type="dxa"/>
            </w:tcMar>
          </w:tcPr>
          <w:p>
            <w:pPr>
              <w:jc w:val="center"/>
            </w:pPr>
            <w:r>
              <w:rPr>
                <w:rFonts w:ascii="Arial" w:hAnsi="Arial"/>
                <w:color w:val="6B7280"/>
                <w:sz w:val="16"/>
              </w:rPr>
              <w:t>e.g., BizLaunch / Digital</w:t>
            </w:r>
          </w:p>
        </w:tc>
      </w:tr>
      <w:tr>
        <w:tc>
          <w:tcPr>
            <w:tcW w:type="dxa" w:w="2401"/>
            <w:tcMar>
              <w:top w:w="100" w:type="dxa"/>
              <w:bottom w:w="100" w:type="dxa"/>
              <w:left w:w="100" w:type="dxa"/>
              <w:right w:w="100" w:type="dxa"/>
            </w:tcMar>
          </w:tcPr>
          <w:p>
            <w:r>
              <w:rPr>
                <w:rFonts w:ascii="Arial" w:hAnsi="Arial"/>
                <w:b/>
                <w:color w:val="2B2F38"/>
                <w:sz w:val="17"/>
              </w:rPr>
              <w:t>Base Monthly Fee</w:t>
            </w:r>
          </w:p>
        </w:tc>
        <w:tc>
          <w:tcPr>
            <w:tcW w:type="dxa" w:w="2401"/>
            <w:tcMar>
              <w:top w:w="100" w:type="dxa"/>
              <w:bottom w:w="100" w:type="dxa"/>
              <w:left w:w="100" w:type="dxa"/>
              <w:right w:w="100" w:type="dxa"/>
            </w:tcMar>
          </w:tcPr>
          <w:p>
            <w:pPr>
              <w:jc w:val="center"/>
            </w:pPr>
            <w:r>
              <w:rPr>
                <w:rFonts w:ascii="Arial" w:hAnsi="Arial"/>
                <w:color w:val="6B7280"/>
                <w:sz w:val="16"/>
              </w:rPr>
              <w:t>R ______ / month</w:t>
            </w:r>
          </w:p>
        </w:tc>
        <w:tc>
          <w:tcPr>
            <w:tcW w:type="dxa" w:w="2401"/>
            <w:tcMar>
              <w:top w:w="100" w:type="dxa"/>
              <w:bottom w:w="100" w:type="dxa"/>
              <w:left w:w="100" w:type="dxa"/>
              <w:right w:w="100" w:type="dxa"/>
            </w:tcMar>
          </w:tcPr>
          <w:p>
            <w:pPr>
              <w:jc w:val="center"/>
            </w:pPr>
            <w:r>
              <w:rPr>
                <w:rFonts w:ascii="Arial" w:hAnsi="Arial"/>
                <w:color w:val="6B7280"/>
                <w:sz w:val="16"/>
              </w:rPr>
              <w:t>R ______ / month</w:t>
            </w:r>
          </w:p>
        </w:tc>
        <w:tc>
          <w:tcPr>
            <w:tcW w:type="dxa" w:w="2401"/>
            <w:tcMar>
              <w:top w:w="100" w:type="dxa"/>
              <w:bottom w:w="100" w:type="dxa"/>
              <w:left w:w="100" w:type="dxa"/>
              <w:right w:w="100" w:type="dxa"/>
            </w:tcMar>
          </w:tcPr>
          <w:p>
            <w:pPr>
              <w:jc w:val="center"/>
            </w:pPr>
            <w:r>
              <w:rPr>
                <w:rFonts w:ascii="Arial" w:hAnsi="Arial"/>
                <w:color w:val="6B7280"/>
                <w:sz w:val="16"/>
              </w:rPr>
              <w:t>R ______ / month</w:t>
            </w:r>
          </w:p>
        </w:tc>
      </w:tr>
      <w:tr>
        <w:tc>
          <w:tcPr>
            <w:tcW w:type="dxa" w:w="2401"/>
            <w:tcMar>
              <w:top w:w="100" w:type="dxa"/>
              <w:bottom w:w="100" w:type="dxa"/>
              <w:left w:w="100" w:type="dxa"/>
              <w:right w:w="100" w:type="dxa"/>
            </w:tcMar>
          </w:tcPr>
          <w:p>
            <w:r>
              <w:rPr>
                <w:rFonts w:ascii="Arial" w:hAnsi="Arial"/>
                <w:b/>
                <w:color w:val="2B2F38"/>
                <w:sz w:val="17"/>
              </w:rPr>
              <w:t>Transaction &amp; EFT Costs</w:t>
            </w:r>
          </w:p>
        </w:tc>
        <w:tc>
          <w:tcPr>
            <w:tcW w:type="dxa" w:w="2401"/>
            <w:tcMar>
              <w:top w:w="100" w:type="dxa"/>
              <w:bottom w:w="100" w:type="dxa"/>
              <w:left w:w="100" w:type="dxa"/>
              <w:right w:w="100" w:type="dxa"/>
            </w:tcMar>
          </w:tcPr>
          <w:p>
            <w:pPr>
              <w:jc w:val="center"/>
            </w:pPr>
            <w:r>
              <w:rPr>
                <w:rFonts w:ascii="Arial" w:hAnsi="Arial"/>
                <w:color w:val="6B7280"/>
                <w:sz w:val="16"/>
              </w:rPr>
              <w:t>e.g., Free digital EFTs?</w:t>
            </w:r>
          </w:p>
        </w:tc>
        <w:tc>
          <w:tcPr>
            <w:tcW w:type="dxa" w:w="2401"/>
            <w:tcMar>
              <w:top w:w="100" w:type="dxa"/>
              <w:bottom w:w="100" w:type="dxa"/>
              <w:left w:w="100" w:type="dxa"/>
              <w:right w:w="100" w:type="dxa"/>
            </w:tcMar>
          </w:tcPr>
          <w:p>
            <w:pPr>
              <w:jc w:val="center"/>
            </w:pPr>
            <w:r>
              <w:rPr>
                <w:rFonts w:ascii="Arial" w:hAnsi="Arial"/>
                <w:color w:val="6B7280"/>
                <w:sz w:val="16"/>
              </w:rPr>
              <w:t>e.g., Included free transactions?</w:t>
            </w:r>
          </w:p>
        </w:tc>
        <w:tc>
          <w:tcPr>
            <w:tcW w:type="dxa" w:w="2401"/>
            <w:tcMar>
              <w:top w:w="100" w:type="dxa"/>
              <w:bottom w:w="100" w:type="dxa"/>
              <w:left w:w="100" w:type="dxa"/>
              <w:right w:w="100" w:type="dxa"/>
            </w:tcMar>
          </w:tcPr>
          <w:p>
            <w:pPr>
              <w:jc w:val="center"/>
            </w:pPr>
            <w:r>
              <w:rPr>
                <w:rFonts w:ascii="Arial" w:hAnsi="Arial"/>
                <w:color w:val="6B7280"/>
                <w:sz w:val="16"/>
              </w:rPr>
              <w:t>e.g., Per-transaction fee?</w:t>
            </w:r>
          </w:p>
        </w:tc>
      </w:tr>
      <w:tr>
        <w:tc>
          <w:tcPr>
            <w:tcW w:type="dxa" w:w="2401"/>
            <w:tcMar>
              <w:top w:w="100" w:type="dxa"/>
              <w:bottom w:w="100" w:type="dxa"/>
              <w:left w:w="100" w:type="dxa"/>
              <w:right w:w="100" w:type="dxa"/>
            </w:tcMar>
          </w:tcPr>
          <w:p>
            <w:r>
              <w:rPr>
                <w:rFonts w:ascii="Arial" w:hAnsi="Arial"/>
                <w:b/>
                <w:color w:val="2B2F38"/>
                <w:sz w:val="17"/>
              </w:rPr>
              <w:t>Accounting Integrations</w:t>
            </w:r>
          </w:p>
        </w:tc>
        <w:tc>
          <w:tcPr>
            <w:tcW w:type="dxa" w:w="2401"/>
            <w:tcMar>
              <w:top w:w="100" w:type="dxa"/>
              <w:bottom w:w="100" w:type="dxa"/>
              <w:left w:w="100" w:type="dxa"/>
              <w:right w:w="100" w:type="dxa"/>
            </w:tcMar>
          </w:tcPr>
          <w:p>
            <w:pPr>
              <w:jc w:val="center"/>
            </w:pPr>
            <w:r>
              <w:rPr>
                <w:rFonts w:ascii="Arial" w:hAnsi="Arial"/>
                <w:color w:val="6B7280"/>
                <w:sz w:val="16"/>
              </w:rPr>
              <w:t>[  ] Xero  [  ] QuickBooks</w:t>
            </w:r>
          </w:p>
        </w:tc>
        <w:tc>
          <w:tcPr>
            <w:tcW w:type="dxa" w:w="2401"/>
            <w:tcMar>
              <w:top w:w="100" w:type="dxa"/>
              <w:bottom w:w="100" w:type="dxa"/>
              <w:left w:w="100" w:type="dxa"/>
              <w:right w:w="100" w:type="dxa"/>
            </w:tcMar>
          </w:tcPr>
          <w:p>
            <w:pPr>
              <w:jc w:val="center"/>
            </w:pPr>
            <w:r>
              <w:rPr>
                <w:rFonts w:ascii="Arial" w:hAnsi="Arial"/>
                <w:color w:val="6B7280"/>
                <w:sz w:val="16"/>
              </w:rPr>
              <w:t>[  ] Xero  [  ] QuickBooks</w:t>
            </w:r>
          </w:p>
        </w:tc>
        <w:tc>
          <w:tcPr>
            <w:tcW w:type="dxa" w:w="2401"/>
            <w:tcMar>
              <w:top w:w="100" w:type="dxa"/>
              <w:bottom w:w="100" w:type="dxa"/>
              <w:left w:w="100" w:type="dxa"/>
              <w:right w:w="100" w:type="dxa"/>
            </w:tcMar>
          </w:tcPr>
          <w:p>
            <w:pPr>
              <w:jc w:val="center"/>
            </w:pPr>
            <w:r>
              <w:rPr>
                <w:rFonts w:ascii="Arial" w:hAnsi="Arial"/>
                <w:color w:val="6B7280"/>
                <w:sz w:val="16"/>
              </w:rPr>
              <w:t>[  ] Xero  [  ] QuickBooks</w:t>
            </w:r>
          </w:p>
        </w:tc>
      </w:tr>
      <w:tr>
        <w:tc>
          <w:tcPr>
            <w:tcW w:type="dxa" w:w="2401"/>
            <w:tcMar>
              <w:top w:w="100" w:type="dxa"/>
              <w:bottom w:w="100" w:type="dxa"/>
              <w:left w:w="100" w:type="dxa"/>
              <w:right w:w="100" w:type="dxa"/>
            </w:tcMar>
          </w:tcPr>
          <w:p>
            <w:r>
              <w:rPr>
                <w:rFonts w:ascii="Arial" w:hAnsi="Arial"/>
                <w:b/>
                <w:color w:val="2B2F38"/>
                <w:sz w:val="17"/>
              </w:rPr>
              <w:t>POS / Card Machine Fees</w:t>
            </w:r>
          </w:p>
        </w:tc>
        <w:tc>
          <w:tcPr>
            <w:tcW w:type="dxa" w:w="2401"/>
            <w:tcMar>
              <w:top w:w="100" w:type="dxa"/>
              <w:bottom w:w="100" w:type="dxa"/>
              <w:left w:w="100" w:type="dxa"/>
              <w:right w:w="100" w:type="dxa"/>
            </w:tcMar>
          </w:tcPr>
          <w:p>
            <w:pPr>
              <w:jc w:val="center"/>
            </w:pPr>
            <w:r>
              <w:rPr>
                <w:rFonts w:ascii="Arial" w:hAnsi="Arial"/>
                <w:color w:val="6B7280"/>
                <w:sz w:val="16"/>
              </w:rPr>
              <w:t>e.g., Speedpoint / Yoco rate</w:t>
            </w:r>
          </w:p>
        </w:tc>
        <w:tc>
          <w:tcPr>
            <w:tcW w:type="dxa" w:w="2401"/>
            <w:tcMar>
              <w:top w:w="100" w:type="dxa"/>
              <w:bottom w:w="100" w:type="dxa"/>
              <w:left w:w="100" w:type="dxa"/>
              <w:right w:w="100" w:type="dxa"/>
            </w:tcMar>
          </w:tcPr>
          <w:p>
            <w:pPr>
              <w:jc w:val="center"/>
            </w:pPr>
            <w:r>
              <w:rPr>
                <w:rFonts w:ascii="Arial" w:hAnsi="Arial"/>
                <w:color w:val="6B7280"/>
                <w:sz w:val="16"/>
              </w:rPr>
              <w:t>e.g., PocketPOS rental fee</w:t>
            </w:r>
          </w:p>
        </w:tc>
        <w:tc>
          <w:tcPr>
            <w:tcW w:type="dxa" w:w="2401"/>
            <w:tcMar>
              <w:top w:w="100" w:type="dxa"/>
              <w:bottom w:w="100" w:type="dxa"/>
              <w:left w:w="100" w:type="dxa"/>
              <w:right w:w="100" w:type="dxa"/>
            </w:tcMar>
          </w:tcPr>
          <w:p>
            <w:pPr>
              <w:jc w:val="center"/>
            </w:pPr>
            <w:r>
              <w:rPr>
                <w:rFonts w:ascii="Arial" w:hAnsi="Arial"/>
                <w:color w:val="6B7280"/>
                <w:sz w:val="16"/>
              </w:rPr>
              <w:t>e.g., Terminal hardware fees</w:t>
            </w:r>
          </w:p>
        </w:tc>
      </w:tr>
      <w:tr>
        <w:tc>
          <w:tcPr>
            <w:tcW w:type="dxa" w:w="2401"/>
            <w:tcMar>
              <w:top w:w="100" w:type="dxa"/>
              <w:bottom w:w="100" w:type="dxa"/>
              <w:left w:w="100" w:type="dxa"/>
              <w:right w:w="100" w:type="dxa"/>
            </w:tcMar>
          </w:tcPr>
          <w:p>
            <w:r>
              <w:rPr>
                <w:rFonts w:ascii="Arial" w:hAnsi="Arial"/>
                <w:b/>
                <w:color w:val="2B2F38"/>
                <w:sz w:val="17"/>
              </w:rPr>
              <w:t>Credit &amp; Overdraft Access</w:t>
            </w:r>
          </w:p>
        </w:tc>
        <w:tc>
          <w:tcPr>
            <w:tcW w:type="dxa" w:w="2401"/>
            <w:tcMar>
              <w:top w:w="100" w:type="dxa"/>
              <w:bottom w:w="100" w:type="dxa"/>
              <w:left w:w="100" w:type="dxa"/>
              <w:right w:w="100" w:type="dxa"/>
            </w:tcMar>
          </w:tcPr>
          <w:p>
            <w:pPr>
              <w:jc w:val="center"/>
            </w:pPr>
            <w:r>
              <w:rPr>
                <w:rFonts w:ascii="Arial" w:hAnsi="Arial"/>
                <w:color w:val="6B7280"/>
                <w:sz w:val="16"/>
              </w:rPr>
              <w:t>Requirements: _____________</w:t>
            </w:r>
          </w:p>
        </w:tc>
        <w:tc>
          <w:tcPr>
            <w:tcW w:type="dxa" w:w="2401"/>
            <w:tcMar>
              <w:top w:w="100" w:type="dxa"/>
              <w:bottom w:w="100" w:type="dxa"/>
              <w:left w:w="100" w:type="dxa"/>
              <w:right w:w="100" w:type="dxa"/>
            </w:tcMar>
          </w:tcPr>
          <w:p>
            <w:pPr>
              <w:jc w:val="center"/>
            </w:pPr>
            <w:r>
              <w:rPr>
                <w:rFonts w:ascii="Arial" w:hAnsi="Arial"/>
                <w:color w:val="6B7280"/>
                <w:sz w:val="16"/>
              </w:rPr>
              <w:t>Requirements: _____________</w:t>
            </w:r>
          </w:p>
        </w:tc>
        <w:tc>
          <w:tcPr>
            <w:tcW w:type="dxa" w:w="2401"/>
            <w:tcMar>
              <w:top w:w="100" w:type="dxa"/>
              <w:bottom w:w="100" w:type="dxa"/>
              <w:left w:w="100" w:type="dxa"/>
              <w:right w:w="100" w:type="dxa"/>
            </w:tcMar>
          </w:tcPr>
          <w:p>
            <w:pPr>
              <w:jc w:val="center"/>
            </w:pPr>
            <w:r>
              <w:rPr>
                <w:rFonts w:ascii="Arial" w:hAnsi="Arial"/>
                <w:color w:val="6B7280"/>
                <w:sz w:val="16"/>
              </w:rPr>
              <w:t>Requirements: _____________</w:t>
            </w:r>
          </w:p>
        </w:tc>
      </w:tr>
    </w:tbl>
    <w:p>
      <w:pPr>
        <w:spacing w:before="80" w:after="40"/>
      </w:pPr>
    </w:p>
    <w:p>
      <w:pPr>
        <w:keepNext/>
        <w:spacing w:before="280" w:after="80"/>
      </w:pPr>
      <w:r>
        <w:rPr>
          <w:rFonts w:ascii="Arial" w:hAnsi="Arial"/>
          <w:b/>
          <w:color w:val="2B2F38"/>
          <w:sz w:val="23"/>
        </w:rPr>
        <w:t>4. Banking Activation Action Plan</w:t>
      </w:r>
    </w:p>
    <w:tbl>
      <w:tblPr>
        <w:tblW w:type="auto" w:w="0"/>
        <w:jc w:val="center"/>
        <w:tblLayout w:type="fixed"/>
        <w:tblLook w:firstColumn="1" w:firstRow="1" w:lastColumn="0" w:lastRow="0" w:noHBand="0" w:noVBand="1" w:val="04A0"/>
        <w:tblBorders>
          <w:top w:val="none"/>
          <w:bottom w:val="none"/>
          <w:left w:val="single" w:sz="24" w:space="0" w:color="D4A243"/>
          <w:right w:val="none"/>
          <w:insideH w:val="none"/>
          <w:insideV w:val="none"/>
        </w:tblBorders>
      </w:tblPr>
      <w:tblGrid>
        <w:gridCol w:w="9605"/>
      </w:tblGrid>
      <w:tr>
        <w:tc>
          <w:tcPr>
            <w:tcW w:type="dxa" w:w="9605"/>
            <w:shd w:fill="F4F5F7"/>
            <w:tcMar>
              <w:top w:w="80" w:type="dxa"/>
              <w:bottom w:w="80" w:type="dxa"/>
              <w:left w:w="120" w:type="dxa"/>
              <w:right w:w="120" w:type="dxa"/>
            </w:tcMar>
          </w:tcPr>
          <w:p>
            <w:pPr>
              <w:spacing w:before="0" w:after="0"/>
            </w:pPr>
            <w:r>
              <w:rPr>
                <w:rFonts w:ascii="Arial" w:hAnsi="Arial"/>
                <w:b/>
                <w:color w:val="D4A243"/>
                <w:sz w:val="18"/>
              </w:rPr>
              <w:t xml:space="preserve">PROMPT: </w:t>
            </w:r>
            <w:r>
              <w:rPr>
                <w:rFonts w:ascii="Arial" w:hAnsi="Arial"/>
                <w:i/>
                <w:color w:val="2B2F38"/>
                <w:sz w:val="18"/>
              </w:rPr>
              <w:t>Execute your bank account setup through this structured sequence to get your commercial account fully active and trading.</w:t>
            </w:r>
          </w:p>
        </w:tc>
      </w:tr>
    </w:tbl>
    <w:p>
      <w:pPr>
        <w:spacing w:before="0" w:after="80"/>
      </w:pPr>
    </w:p>
    <w:tbl>
      <w:tblPr>
        <w:tblW w:type="auto" w:w="0"/>
        <w:jc w:val="center"/>
        <w:tblLayout w:type="fixed"/>
        <w:tblLook w:firstColumn="1" w:firstRow="1" w:lastColumn="0" w:lastRow="0" w:noHBand="0" w:noVBand="1" w:val="04A0"/>
        <w:tblBorders>
          <w:top w:val="single" w:sz="4" w:space="0" w:color="D1D5DB"/>
          <w:bottom w:val="single" w:sz="4" w:space="0" w:color="D1D5DB"/>
          <w:left w:val="none"/>
          <w:right w:val="none"/>
          <w:insideH w:val="single" w:sz="4" w:space="0" w:color="D1D5DB"/>
          <w:insideV w:val="none"/>
        </w:tblBorders>
      </w:tblPr>
      <w:tblGrid>
        <w:gridCol w:w="864"/>
        <w:gridCol w:w="3168"/>
        <w:gridCol w:w="3744"/>
        <w:gridCol w:w="1829"/>
      </w:tblGrid>
      <w:tr>
        <w:tc>
          <w:tcPr>
            <w:tcW w:type="dxa" w:w="2401"/>
            <w:shd w:fill="E5E7EB"/>
            <w:tcMar>
              <w:top w:w="100" w:type="dxa"/>
              <w:bottom w:w="100" w:type="dxa"/>
              <w:left w:w="100" w:type="dxa"/>
              <w:right w:w="100" w:type="dxa"/>
            </w:tcMar>
          </w:tcPr>
          <w:p>
            <w:pPr>
              <w:jc w:val="center"/>
            </w:pPr>
            <w:r>
              <w:rPr>
                <w:rFonts w:ascii="Arial" w:hAnsi="Arial"/>
                <w:b/>
                <w:color w:val="2B2F38"/>
                <w:sz w:val="18"/>
              </w:rPr>
              <w:t>Step</w:t>
            </w:r>
          </w:p>
        </w:tc>
        <w:tc>
          <w:tcPr>
            <w:tcW w:type="dxa" w:w="2401"/>
            <w:shd w:fill="E5E7EB"/>
            <w:tcMar>
              <w:top w:w="100" w:type="dxa"/>
              <w:bottom w:w="100" w:type="dxa"/>
              <w:left w:w="100" w:type="dxa"/>
              <w:right w:w="100" w:type="dxa"/>
            </w:tcMar>
          </w:tcPr>
          <w:p>
            <w:pPr>
              <w:jc w:val="left"/>
            </w:pPr>
            <w:r>
              <w:rPr>
                <w:rFonts w:ascii="Arial" w:hAnsi="Arial"/>
                <w:b/>
                <w:color w:val="2B2F38"/>
                <w:sz w:val="18"/>
              </w:rPr>
              <w:t>Operational Milestone</w:t>
            </w:r>
          </w:p>
        </w:tc>
        <w:tc>
          <w:tcPr>
            <w:tcW w:type="dxa" w:w="2401"/>
            <w:shd w:fill="E5E7EB"/>
            <w:tcMar>
              <w:top w:w="100" w:type="dxa"/>
              <w:bottom w:w="100" w:type="dxa"/>
              <w:left w:w="100" w:type="dxa"/>
              <w:right w:w="100" w:type="dxa"/>
            </w:tcMar>
          </w:tcPr>
          <w:p>
            <w:pPr>
              <w:jc w:val="left"/>
            </w:pPr>
            <w:r>
              <w:rPr>
                <w:rFonts w:ascii="Arial" w:hAnsi="Arial"/>
                <w:b/>
                <w:color w:val="2B2F38"/>
                <w:sz w:val="18"/>
              </w:rPr>
              <w:t>Action Details &amp; Verification</w:t>
            </w:r>
          </w:p>
        </w:tc>
        <w:tc>
          <w:tcPr>
            <w:tcW w:type="dxa" w:w="2401"/>
            <w:shd w:fill="E5E7EB"/>
            <w:tcMar>
              <w:top w:w="100" w:type="dxa"/>
              <w:bottom w:w="100" w:type="dxa"/>
              <w:left w:w="100" w:type="dxa"/>
              <w:right w:w="100" w:type="dxa"/>
            </w:tcMar>
          </w:tcPr>
          <w:p>
            <w:pPr>
              <w:jc w:val="center"/>
            </w:pPr>
            <w:r>
              <w:rPr>
                <w:rFonts w:ascii="Arial" w:hAnsi="Arial"/>
                <w:b/>
                <w:color w:val="2B2F38"/>
                <w:sz w:val="18"/>
              </w:rPr>
              <w:t>Target Date / Status</w:t>
            </w:r>
          </w:p>
        </w:tc>
      </w:tr>
      <w:tr>
        <w:tc>
          <w:tcPr>
            <w:tcW w:type="dxa" w:w="2401"/>
            <w:tcMar>
              <w:top w:w="100" w:type="dxa"/>
              <w:bottom w:w="100" w:type="dxa"/>
              <w:left w:w="100" w:type="dxa"/>
              <w:right w:w="100" w:type="dxa"/>
            </w:tcMar>
          </w:tcPr>
          <w:p>
            <w:pPr>
              <w:jc w:val="center"/>
            </w:pPr>
            <w:r>
              <w:rPr>
                <w:rFonts w:ascii="Arial" w:hAnsi="Arial"/>
                <w:b/>
                <w:color w:val="D4A243"/>
                <w:sz w:val="18"/>
              </w:rPr>
              <w:t>01</w:t>
            </w:r>
          </w:p>
        </w:tc>
        <w:tc>
          <w:tcPr>
            <w:tcW w:type="dxa" w:w="2401"/>
            <w:tcMar>
              <w:top w:w="100" w:type="dxa"/>
              <w:bottom w:w="100" w:type="dxa"/>
              <w:left w:w="100" w:type="dxa"/>
              <w:right w:w="100" w:type="dxa"/>
            </w:tcMar>
          </w:tcPr>
          <w:p>
            <w:r>
              <w:rPr>
                <w:rFonts w:ascii="Arial" w:hAnsi="Arial"/>
                <w:b/>
                <w:color w:val="2B2F38"/>
                <w:sz w:val="17"/>
              </w:rPr>
              <w:t>Finalize Bank Selection</w:t>
            </w:r>
          </w:p>
        </w:tc>
        <w:tc>
          <w:tcPr>
            <w:tcW w:type="dxa" w:w="2401"/>
            <w:tcMar>
              <w:top w:w="100" w:type="dxa"/>
              <w:bottom w:w="100" w:type="dxa"/>
              <w:left w:w="100" w:type="dxa"/>
              <w:right w:w="100" w:type="dxa"/>
            </w:tcMar>
          </w:tcPr>
          <w:p>
            <w:r>
              <w:rPr>
                <w:rFonts w:ascii="Arial" w:hAnsi="Arial"/>
                <w:color w:val="6B7280"/>
                <w:sz w:val="16"/>
              </w:rPr>
              <w:t>Review comparison table, check monthly fee bundles, and select preferred banking partner.</w:t>
            </w:r>
          </w:p>
        </w:tc>
        <w:tc>
          <w:tcPr>
            <w:tcW w:type="dxa" w:w="2401"/>
            <w:tcMar>
              <w:top w:w="100" w:type="dxa"/>
              <w:bottom w:w="100" w:type="dxa"/>
              <w:left w:w="100" w:type="dxa"/>
              <w:right w:w="100" w:type="dxa"/>
            </w:tcMar>
          </w:tcPr>
          <w:p>
            <w:pPr>
              <w:jc w:val="center"/>
            </w:pPr>
            <w:r>
              <w:rPr>
                <w:rFonts w:ascii="Arial" w:hAnsi="Arial"/>
                <w:color w:val="2B2F38"/>
                <w:sz w:val="16"/>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02</w:t>
            </w:r>
          </w:p>
        </w:tc>
        <w:tc>
          <w:tcPr>
            <w:tcW w:type="dxa" w:w="2401"/>
            <w:tcMar>
              <w:top w:w="100" w:type="dxa"/>
              <w:bottom w:w="100" w:type="dxa"/>
              <w:left w:w="100" w:type="dxa"/>
              <w:right w:w="100" w:type="dxa"/>
            </w:tcMar>
          </w:tcPr>
          <w:p>
            <w:r>
              <w:rPr>
                <w:rFonts w:ascii="Arial" w:hAnsi="Arial"/>
                <w:b/>
                <w:color w:val="2B2F38"/>
                <w:sz w:val="17"/>
              </w:rPr>
              <w:t>Assemble FICA Dossier</w:t>
            </w:r>
          </w:p>
        </w:tc>
        <w:tc>
          <w:tcPr>
            <w:tcW w:type="dxa" w:w="2401"/>
            <w:tcMar>
              <w:top w:w="100" w:type="dxa"/>
              <w:bottom w:w="100" w:type="dxa"/>
              <w:left w:w="100" w:type="dxa"/>
              <w:right w:w="100" w:type="dxa"/>
            </w:tcMar>
          </w:tcPr>
          <w:p>
            <w:r>
              <w:rPr>
                <w:rFonts w:ascii="Arial" w:hAnsi="Arial"/>
                <w:color w:val="6B7280"/>
                <w:sz w:val="16"/>
              </w:rPr>
              <w:t>Gather certified IDs, CIPC documents, Beneficial Ownership proof, and signed Board Resolution.</w:t>
            </w:r>
          </w:p>
        </w:tc>
        <w:tc>
          <w:tcPr>
            <w:tcW w:type="dxa" w:w="2401"/>
            <w:tcMar>
              <w:top w:w="100" w:type="dxa"/>
              <w:bottom w:w="100" w:type="dxa"/>
              <w:left w:w="100" w:type="dxa"/>
              <w:right w:w="100" w:type="dxa"/>
            </w:tcMar>
          </w:tcPr>
          <w:p>
            <w:pPr>
              <w:jc w:val="center"/>
            </w:pPr>
            <w:r>
              <w:rPr>
                <w:rFonts w:ascii="Arial" w:hAnsi="Arial"/>
                <w:color w:val="2B2F38"/>
                <w:sz w:val="16"/>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03</w:t>
            </w:r>
          </w:p>
        </w:tc>
        <w:tc>
          <w:tcPr>
            <w:tcW w:type="dxa" w:w="2401"/>
            <w:tcMar>
              <w:top w:w="100" w:type="dxa"/>
              <w:bottom w:w="100" w:type="dxa"/>
              <w:left w:w="100" w:type="dxa"/>
              <w:right w:w="100" w:type="dxa"/>
            </w:tcMar>
          </w:tcPr>
          <w:p>
            <w:r>
              <w:rPr>
                <w:rFonts w:ascii="Arial" w:hAnsi="Arial"/>
                <w:b/>
                <w:color w:val="2B2F38"/>
                <w:sz w:val="17"/>
              </w:rPr>
              <w:t>Submit Application</w:t>
            </w:r>
          </w:p>
        </w:tc>
        <w:tc>
          <w:tcPr>
            <w:tcW w:type="dxa" w:w="2401"/>
            <w:tcMar>
              <w:top w:w="100" w:type="dxa"/>
              <w:bottom w:w="100" w:type="dxa"/>
              <w:left w:w="100" w:type="dxa"/>
              <w:right w:w="100" w:type="dxa"/>
            </w:tcMar>
          </w:tcPr>
          <w:p>
            <w:r>
              <w:rPr>
                <w:rFonts w:ascii="Arial" w:hAnsi="Arial"/>
                <w:color w:val="6B7280"/>
                <w:sz w:val="16"/>
              </w:rPr>
              <w:t>Lodge application via online banking portal or schedule in-branch appointment with business manager.</w:t>
            </w:r>
          </w:p>
        </w:tc>
        <w:tc>
          <w:tcPr>
            <w:tcW w:type="dxa" w:w="2401"/>
            <w:tcMar>
              <w:top w:w="100" w:type="dxa"/>
              <w:bottom w:w="100" w:type="dxa"/>
              <w:left w:w="100" w:type="dxa"/>
              <w:right w:w="100" w:type="dxa"/>
            </w:tcMar>
          </w:tcPr>
          <w:p>
            <w:pPr>
              <w:jc w:val="center"/>
            </w:pPr>
            <w:r>
              <w:rPr>
                <w:rFonts w:ascii="Arial" w:hAnsi="Arial"/>
                <w:color w:val="2B2F38"/>
                <w:sz w:val="16"/>
              </w:rPr>
              <w:t>Due: DD / MM / YYYY</w:t>
              <w:br/>
              <w:t>[  ] Done</w:t>
            </w:r>
          </w:p>
        </w:tc>
      </w:tr>
      <w:tr>
        <w:tc>
          <w:tcPr>
            <w:tcW w:type="dxa" w:w="2401"/>
            <w:tcMar>
              <w:top w:w="100" w:type="dxa"/>
              <w:bottom w:w="100" w:type="dxa"/>
              <w:left w:w="100" w:type="dxa"/>
              <w:right w:w="100" w:type="dxa"/>
            </w:tcMar>
          </w:tcPr>
          <w:p>
            <w:pPr>
              <w:jc w:val="center"/>
            </w:pPr>
            <w:r>
              <w:rPr>
                <w:rFonts w:ascii="Arial" w:hAnsi="Arial"/>
                <w:b/>
                <w:color w:val="D4A243"/>
                <w:sz w:val="18"/>
              </w:rPr>
              <w:t>04</w:t>
            </w:r>
          </w:p>
        </w:tc>
        <w:tc>
          <w:tcPr>
            <w:tcW w:type="dxa" w:w="2401"/>
            <w:tcMar>
              <w:top w:w="100" w:type="dxa"/>
              <w:bottom w:w="100" w:type="dxa"/>
              <w:left w:w="100" w:type="dxa"/>
              <w:right w:w="100" w:type="dxa"/>
            </w:tcMar>
          </w:tcPr>
          <w:p>
            <w:r>
              <w:rPr>
                <w:rFonts w:ascii="Arial" w:hAnsi="Arial"/>
                <w:b/>
                <w:color w:val="2B2F38"/>
                <w:sz w:val="17"/>
              </w:rPr>
              <w:t>Account Activation &amp; Integration</w:t>
            </w:r>
          </w:p>
        </w:tc>
        <w:tc>
          <w:tcPr>
            <w:tcW w:type="dxa" w:w="2401"/>
            <w:tcMar>
              <w:top w:w="100" w:type="dxa"/>
              <w:bottom w:w="100" w:type="dxa"/>
              <w:left w:w="100" w:type="dxa"/>
              <w:right w:w="100" w:type="dxa"/>
            </w:tcMar>
          </w:tcPr>
          <w:p>
            <w:r>
              <w:rPr>
                <w:rFonts w:ascii="Arial" w:hAnsi="Arial"/>
                <w:color w:val="6B7280"/>
                <w:sz w:val="16"/>
              </w:rPr>
              <w:t>Deposit initial float, activate digital banking tokens, and link bank feed to accounting software.</w:t>
            </w:r>
          </w:p>
        </w:tc>
        <w:tc>
          <w:tcPr>
            <w:tcW w:type="dxa" w:w="2401"/>
            <w:tcMar>
              <w:top w:w="100" w:type="dxa"/>
              <w:bottom w:w="100" w:type="dxa"/>
              <w:left w:w="100" w:type="dxa"/>
              <w:right w:w="100" w:type="dxa"/>
            </w:tcMar>
          </w:tcPr>
          <w:p>
            <w:pPr>
              <w:jc w:val="center"/>
            </w:pPr>
            <w:r>
              <w:rPr>
                <w:rFonts w:ascii="Arial" w:hAnsi="Arial"/>
                <w:color w:val="2B2F38"/>
                <w:sz w:val="16"/>
              </w:rPr>
              <w:t>Due: DD / MM / YYYY</w:t>
              <w:br/>
              <w:t>[  ] Done</w:t>
            </w:r>
          </w:p>
        </w:tc>
      </w:tr>
    </w:tbl>
    <w:sectPr w:rsidR="00FC693F" w:rsidRPr="0006063C" w:rsidSect="00034616">
      <w:headerReference w:type="default" r:id="rId9"/>
      <w:footerReference w:type="default" r:id="rId10"/>
      <w:pgSz w:w="11909" w:h="16834"/>
      <w:pgMar w:top="1152" w:right="1152" w:bottom="1152" w:left="1152"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Borders>
        <w:top w:val="single" w:sz="6" w:space="0" w:color="E5E7EB"/>
      </w:tblBorders>
    </w:tblPr>
    <w:tblGrid>
      <w:gridCol w:w="6912"/>
      <w:gridCol w:w="2693"/>
    </w:tblGrid>
    <w:tr>
      <w:tc>
        <w:tcPr>
          <w:tcW w:type="dxa" w:w="4802"/>
        </w:tcPr>
        <w:p>
          <w:pPr>
            <w:spacing w:before="80" w:after="0"/>
          </w:pPr>
          <w:r>
            <w:rPr>
              <w:rFonts w:ascii="Arial" w:hAnsi="Arial"/>
              <w:color w:val="6B7280"/>
              <w:sz w:val="16"/>
            </w:rPr>
            <w:t xml:space="preserve">Need business advice? Visit </w:t>
          </w:r>
          <w:r>
            <w:rPr>
              <w:rFonts w:ascii="Arial" w:hAnsi="Arial"/>
              <w:b/>
              <w:color w:val="2B2F38"/>
              <w:sz w:val="16"/>
            </w:rPr>
            <w:t>saaccountingsolutions.co.za</w:t>
            <w:br/>
          </w:r>
          <w:r>
            <w:rPr>
              <w:rFonts w:ascii="Arial" w:hAnsi="Arial"/>
              <w:color w:val="6B7280"/>
              <w:sz w:val="15"/>
            </w:rPr>
            <w:t>© SA Accounting Network • All rights reserved</w:t>
          </w:r>
        </w:p>
      </w:tc>
      <w:tc>
        <w:tcPr>
          <w:tcW w:type="dxa" w:w="4802"/>
        </w:tcPr>
        <w:p>
          <w:pPr>
            <w:spacing w:before="80" w:after="0"/>
            <w:jc w:val="right"/>
          </w:pPr>
          <w:r>
            <w:rPr>
              <w:rFonts w:ascii="Arial" w:hAnsi="Arial"/>
              <w:color w:val="6B7280"/>
              <w:sz w:val="16"/>
            </w:rPr>
            <w:t>Business Mentoring Guide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bottom w:val="single" w:sz="12" w:space="0" w:color="D4A243"/>
      </w:tblBorders>
    </w:tblPr>
    <w:tblGrid>
      <w:gridCol w:w="6480"/>
      <w:gridCol w:w="3125"/>
    </w:tblGrid>
    <w:tr>
      <w:tc>
        <w:tcPr>
          <w:tcW w:type="dxa" w:w="4802"/>
        </w:tcPr>
        <w:p>
          <w:pPr>
            <w:spacing w:before="0" w:after="40"/>
          </w:pPr>
          <w:r>
            <w:rPr>
              <w:rFonts w:ascii="Arial" w:hAnsi="Arial"/>
              <w:b/>
              <w:color w:val="2B2F38"/>
              <w:sz w:val="19"/>
            </w:rPr>
            <w:t>SA ACCOUNTING NETWORK</w:t>
            <w:br/>
          </w:r>
          <w:r>
            <w:rPr>
              <w:rFonts w:ascii="Arial" w:hAnsi="Arial"/>
              <w:color w:val="6B7280"/>
              <w:sz w:val="17"/>
            </w:rPr>
            <w:t>Free Business Mentoring Program</w:t>
          </w:r>
        </w:p>
      </w:tc>
      <w:tc>
        <w:tcPr>
          <w:tcW w:type="dxa" w:w="4802"/>
        </w:tcPr>
        <w:p>
          <w:pPr>
            <w:spacing w:before="0" w:after="40"/>
            <w:jc w:val="right"/>
          </w:pPr>
          <w:r>
            <w:rPr>
              <w:rFonts w:ascii="Arial" w:hAnsi="Arial"/>
              <w:b/>
              <w:color w:val="D4A243"/>
              <w:sz w:val="17"/>
            </w:rPr>
            <w:t>FINANCIAL &amp; BANKING</w:t>
            <w:br/>
          </w:r>
          <w:r>
            <w:rPr>
              <w:rFonts w:ascii="Arial" w:hAnsi="Arial"/>
              <w:b/>
              <w:color w:val="2B2F38"/>
              <w:sz w:val="18"/>
            </w:rPr>
            <w:t>WORKSHEET 2.4</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